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AA207B">
        <w:rPr>
          <w:b/>
          <w:color w:val="FF0000"/>
          <w:sz w:val="32"/>
          <w:szCs w:val="32"/>
        </w:rPr>
        <w:t>5</w:t>
      </w:r>
      <w:r w:rsidR="00F72B08">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72B08">
        <w:rPr>
          <w:b/>
          <w:sz w:val="24"/>
          <w:szCs w:val="24"/>
        </w:rPr>
        <w:t>MARCH 8,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72B08">
        <w:rPr>
          <w:sz w:val="32"/>
          <w:szCs w:val="32"/>
        </w:rPr>
        <w:t>MARCH 25,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F72B08">
        <w:rPr>
          <w:b/>
          <w:sz w:val="24"/>
          <w:szCs w:val="24"/>
        </w:rPr>
        <w:t>ROOF/WINDOW REPLACEMENT FUND</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72B08">
        <w:rPr>
          <w:b/>
          <w:sz w:val="24"/>
          <w:szCs w:val="24"/>
        </w:rPr>
        <w:t>WILSON HALL WINDOW REPLACEMENT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2B08"/>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863E2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2022-03-08T22:20:00Z</dcterms:created>
  <dcterms:modified xsi:type="dcterms:W3CDTF">2022-03-08T22:20:00Z</dcterms:modified>
</cp:coreProperties>
</file>